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41" w:rsidRPr="00510862" w:rsidRDefault="00510862">
      <w:pPr>
        <w:rPr>
          <w:rFonts w:ascii="Times New Roman" w:hAnsi="Times New Roman" w:cs="Times New Roman"/>
          <w:b/>
        </w:rPr>
      </w:pPr>
      <w:r w:rsidRPr="00510862">
        <w:rPr>
          <w:rFonts w:ascii="Times New Roman" w:hAnsi="Times New Roman" w:cs="Times New Roman"/>
          <w:b/>
        </w:rPr>
        <w:t>11. Spouštění, regulace</w:t>
      </w:r>
    </w:p>
    <w:p w:rsidR="00510862" w:rsidRDefault="00510862">
      <w:pPr>
        <w:rPr>
          <w:rFonts w:ascii="Times New Roman" w:hAnsi="Times New Roman" w:cs="Times New Roman"/>
        </w:rPr>
      </w:pPr>
    </w:p>
    <w:p w:rsidR="00CC7C74" w:rsidRDefault="00CC7C74" w:rsidP="00CC7C74">
      <w:pPr>
        <w:ind w:firstLine="708"/>
        <w:rPr>
          <w:rFonts w:ascii="Times New Roman" w:hAnsi="Times New Roman" w:cs="Times New Roman"/>
        </w:rPr>
      </w:pPr>
      <w:r>
        <w:rPr>
          <w:rFonts w:ascii="Times New Roman" w:hAnsi="Times New Roman" w:cs="Times New Roman"/>
        </w:rPr>
        <w:t xml:space="preserve">ES je spojení paralelně pracujících elektráren, přenosových a rozvodných sítí. Provoz je spolehlivá hospodárná dodávka kvalitní el. </w:t>
      </w:r>
      <w:proofErr w:type="gramStart"/>
      <w:r>
        <w:rPr>
          <w:rFonts w:ascii="Times New Roman" w:hAnsi="Times New Roman" w:cs="Times New Roman"/>
        </w:rPr>
        <w:t>energie</w:t>
      </w:r>
      <w:proofErr w:type="gramEnd"/>
      <w:r>
        <w:rPr>
          <w:rFonts w:ascii="Times New Roman" w:hAnsi="Times New Roman" w:cs="Times New Roman"/>
        </w:rPr>
        <w:t>. Dalšími parametry jsou frekvence a velikost napětí. Řízení ES je spojeno s dodávkou a přenosem činného a jalového výkonu v soustavě. Činný výkon je citlivý na změny frekvence a méně na změny napětí. U jalového výkonu je tomu naopak.</w:t>
      </w:r>
    </w:p>
    <w:p w:rsidR="00CC7C74" w:rsidRDefault="00CC7C74" w:rsidP="00CC7C74">
      <w:pPr>
        <w:rPr>
          <w:rFonts w:ascii="Times New Roman" w:hAnsi="Times New Roman" w:cs="Times New Roman"/>
        </w:rPr>
      </w:pPr>
    </w:p>
    <w:p w:rsidR="00CC7C74" w:rsidRPr="00EF7CC0" w:rsidRDefault="00CC7C74" w:rsidP="00CC7C74">
      <w:pPr>
        <w:rPr>
          <w:rFonts w:ascii="Times New Roman" w:hAnsi="Times New Roman" w:cs="Times New Roman"/>
          <w:b/>
          <w:i/>
        </w:rPr>
      </w:pPr>
      <w:r w:rsidRPr="00EF7CC0">
        <w:rPr>
          <w:rFonts w:ascii="Times New Roman" w:hAnsi="Times New Roman" w:cs="Times New Roman"/>
          <w:b/>
          <w:i/>
        </w:rPr>
        <w:t>Regulace frekvence a předávaných činných výkonů</w:t>
      </w:r>
    </w:p>
    <w:p w:rsidR="00CC7C74" w:rsidRDefault="00EF7CC0" w:rsidP="00CC7C74">
      <w:pPr>
        <w:rPr>
          <w:rFonts w:ascii="Times New Roman" w:hAnsi="Times New Roman" w:cs="Times New Roman"/>
        </w:rPr>
      </w:pPr>
      <w:r>
        <w:rPr>
          <w:rFonts w:ascii="Times New Roman" w:hAnsi="Times New Roman" w:cs="Times New Roman"/>
          <w:noProof/>
          <w:lang w:eastAsia="cs-CZ"/>
        </w:rPr>
        <w:drawing>
          <wp:anchor distT="0" distB="0" distL="114300" distR="114300" simplePos="0" relativeHeight="251660288" behindDoc="0" locked="0" layoutInCell="1" allowOverlap="1">
            <wp:simplePos x="0" y="0"/>
            <wp:positionH relativeFrom="column">
              <wp:posOffset>1928495</wp:posOffset>
            </wp:positionH>
            <wp:positionV relativeFrom="paragraph">
              <wp:posOffset>48260</wp:posOffset>
            </wp:positionV>
            <wp:extent cx="4038600" cy="1962150"/>
            <wp:effectExtent l="19050" t="0" r="0" b="0"/>
            <wp:wrapSquare wrapText="bothSides"/>
            <wp:docPr id="3" name="Obrázek 2" descr="Charky zdroj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ky zdrojů.jpg"/>
                    <pic:cNvPicPr/>
                  </pic:nvPicPr>
                  <pic:blipFill>
                    <a:blip r:embed="rId4" cstate="print"/>
                    <a:stretch>
                      <a:fillRect/>
                    </a:stretch>
                  </pic:blipFill>
                  <pic:spPr>
                    <a:xfrm>
                      <a:off x="0" y="0"/>
                      <a:ext cx="4038600" cy="1962150"/>
                    </a:xfrm>
                    <a:prstGeom prst="rect">
                      <a:avLst/>
                    </a:prstGeom>
                  </pic:spPr>
                </pic:pic>
              </a:graphicData>
            </a:graphic>
          </wp:anchor>
        </w:drawing>
      </w:r>
      <w:r w:rsidR="00CC7C74">
        <w:rPr>
          <w:rFonts w:ascii="Times New Roman" w:hAnsi="Times New Roman" w:cs="Times New Roman"/>
        </w:rPr>
        <w:t xml:space="preserve">V neregulované soustavě je změna zatížení nebo velikosti zdrojů spojena se změnou frekvence podle charakteristik zátěží a zdrojů. Statické </w:t>
      </w:r>
      <w:proofErr w:type="spellStart"/>
      <w:r w:rsidR="00CC7C74">
        <w:rPr>
          <w:rFonts w:ascii="Times New Roman" w:hAnsi="Times New Roman" w:cs="Times New Roman"/>
        </w:rPr>
        <w:t>charky</w:t>
      </w:r>
      <w:proofErr w:type="spellEnd"/>
      <w:r w:rsidR="00CC7C74">
        <w:rPr>
          <w:rFonts w:ascii="Times New Roman" w:hAnsi="Times New Roman" w:cs="Times New Roman"/>
        </w:rPr>
        <w:t xml:space="preserve"> zdrojů jsou dány primárními regulátory otáček turbín. </w:t>
      </w:r>
      <w:proofErr w:type="spellStart"/>
      <w:r w:rsidR="00CC7C74">
        <w:rPr>
          <w:rFonts w:ascii="Times New Roman" w:hAnsi="Times New Roman" w:cs="Times New Roman"/>
        </w:rPr>
        <w:t>Charka</w:t>
      </w:r>
      <w:proofErr w:type="spellEnd"/>
      <w:r w:rsidR="00CC7C74">
        <w:rPr>
          <w:rFonts w:ascii="Times New Roman" w:hAnsi="Times New Roman" w:cs="Times New Roman"/>
        </w:rPr>
        <w:t xml:space="preserve"> soustavy je součet jednotlivých výroben, jejíž průběh lze </w:t>
      </w:r>
      <w:r>
        <w:rPr>
          <w:rFonts w:ascii="Times New Roman" w:hAnsi="Times New Roman" w:cs="Times New Roman"/>
        </w:rPr>
        <w:t>vzhledem k různému poměrnému zatížení získat pouze experimentálně.</w:t>
      </w:r>
    </w:p>
    <w:p w:rsidR="00EF7CC0" w:rsidRPr="00EF7CC0" w:rsidRDefault="00EF7CC0" w:rsidP="00CC7C74">
      <w:pPr>
        <w:rPr>
          <w:rFonts w:ascii="Times New Roman" w:hAnsi="Times New Roman" w:cs="Times New Roman"/>
          <w:i/>
          <w:lang w:val="en-US"/>
        </w:rPr>
      </w:pPr>
      <w:r w:rsidRPr="00EF7CC0">
        <w:rPr>
          <w:rFonts w:ascii="Times New Roman" w:hAnsi="Times New Roman" w:cs="Times New Roman"/>
          <w:i/>
        </w:rPr>
        <w:t>Výkonové číslo zdrojů</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num>
          <m:den>
            <m:r>
              <w:rPr>
                <w:rFonts w:ascii="Cambria Math" w:hAnsi="Cambria Math" w:cs="Times New Roman"/>
              </w:rPr>
              <m:t>∆f</m:t>
            </m:r>
          </m:den>
        </m:f>
        <m:r>
          <w:rPr>
            <w:rFonts w:ascii="Cambria Math" w:hAnsi="Cambria Math" w:cs="Times New Roman"/>
            <w:lang w:val="en-US"/>
          </w:rPr>
          <m:t>[</m:t>
        </m:r>
        <m:r>
          <w:rPr>
            <w:rFonts w:ascii="Cambria Math" w:hAnsi="Cambria Math" w:cs="Times New Roman"/>
          </w:rPr>
          <m:t>MW/Hz</m:t>
        </m:r>
        <m:r>
          <w:rPr>
            <w:rFonts w:ascii="Cambria Math" w:hAnsi="Cambria Math" w:cs="Times New Roman"/>
            <w:lang w:val="en-US"/>
          </w:rPr>
          <m:t>]</m:t>
        </m:r>
      </m:oMath>
    </w:p>
    <w:p w:rsidR="00EF7CC0" w:rsidRDefault="00435A5E" w:rsidP="00EF7CC0">
      <w:pPr>
        <w:ind w:firstLine="708"/>
        <w:rPr>
          <w:rFonts w:ascii="Times New Roman" w:hAnsi="Times New Roman" w:cs="Times New Roman"/>
        </w:rPr>
      </w:pPr>
      <w:r w:rsidRPr="00435A5E">
        <w:rPr>
          <w:rFonts w:ascii="Times New Roman" w:hAnsi="Times New Roman" w:cs="Times New Roman"/>
          <w:i/>
          <w:noProof/>
          <w:lang w:eastAsia="cs-CZ"/>
        </w:rPr>
        <w:drawing>
          <wp:anchor distT="0" distB="0" distL="114300" distR="114300" simplePos="0" relativeHeight="251661312" behindDoc="0" locked="0" layoutInCell="1" allowOverlap="1">
            <wp:simplePos x="0" y="0"/>
            <wp:positionH relativeFrom="column">
              <wp:posOffset>2004695</wp:posOffset>
            </wp:positionH>
            <wp:positionV relativeFrom="paragraph">
              <wp:posOffset>46355</wp:posOffset>
            </wp:positionV>
            <wp:extent cx="3962400" cy="1724025"/>
            <wp:effectExtent l="19050" t="0" r="0" b="0"/>
            <wp:wrapSquare wrapText="bothSides"/>
            <wp:docPr id="4" name="Obrázek 3" descr="Nárůst a pokles zatížen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árůst a pokles zatížení.jpg"/>
                    <pic:cNvPicPr/>
                  </pic:nvPicPr>
                  <pic:blipFill>
                    <a:blip r:embed="rId5" cstate="print"/>
                    <a:stretch>
                      <a:fillRect/>
                    </a:stretch>
                  </pic:blipFill>
                  <pic:spPr>
                    <a:xfrm>
                      <a:off x="0" y="0"/>
                      <a:ext cx="3962400" cy="1724025"/>
                    </a:xfrm>
                    <a:prstGeom prst="rect">
                      <a:avLst/>
                    </a:prstGeom>
                  </pic:spPr>
                </pic:pic>
              </a:graphicData>
            </a:graphic>
          </wp:anchor>
        </w:drawing>
      </w:r>
      <w:r w:rsidR="00EF7CC0" w:rsidRPr="00435A5E">
        <w:rPr>
          <w:rFonts w:ascii="Times New Roman" w:hAnsi="Times New Roman" w:cs="Times New Roman"/>
          <w:i/>
        </w:rPr>
        <w:t xml:space="preserve">Statická </w:t>
      </w:r>
      <w:proofErr w:type="spellStart"/>
      <w:r w:rsidR="00EF7CC0" w:rsidRPr="00435A5E">
        <w:rPr>
          <w:rFonts w:ascii="Times New Roman" w:hAnsi="Times New Roman" w:cs="Times New Roman"/>
          <w:i/>
        </w:rPr>
        <w:t>charka</w:t>
      </w:r>
      <w:proofErr w:type="spellEnd"/>
      <w:r w:rsidR="00EF7CC0" w:rsidRPr="00435A5E">
        <w:rPr>
          <w:rFonts w:ascii="Times New Roman" w:hAnsi="Times New Roman" w:cs="Times New Roman"/>
          <w:i/>
        </w:rPr>
        <w:t xml:space="preserve"> elektrizační soustavy</w:t>
      </w:r>
      <w:r w:rsidR="00EF7CC0">
        <w:rPr>
          <w:rFonts w:ascii="Times New Roman" w:hAnsi="Times New Roman" w:cs="Times New Roman"/>
        </w:rPr>
        <w:t xml:space="preserve"> – Pracovní bod je určen </w:t>
      </w:r>
      <w:proofErr w:type="spellStart"/>
      <w:r w:rsidR="00EF7CC0">
        <w:rPr>
          <w:rFonts w:ascii="Times New Roman" w:hAnsi="Times New Roman" w:cs="Times New Roman"/>
        </w:rPr>
        <w:t>charkami</w:t>
      </w:r>
      <w:proofErr w:type="spellEnd"/>
      <w:r w:rsidR="00EF7CC0">
        <w:rPr>
          <w:rFonts w:ascii="Times New Roman" w:hAnsi="Times New Roman" w:cs="Times New Roman"/>
        </w:rPr>
        <w:t xml:space="preserve"> zdrojů a zátěže a posouvá se při změnách frekvence, v důsledku změn velikosti zdrojů a spotřebičů.</w:t>
      </w:r>
    </w:p>
    <w:p w:rsidR="00435A5E" w:rsidRDefault="00435A5E" w:rsidP="00EF7CC0">
      <w:pPr>
        <w:ind w:firstLine="708"/>
        <w:rPr>
          <w:rFonts w:ascii="Times New Roman" w:hAnsi="Times New Roman" w:cs="Times New Roman"/>
        </w:rPr>
      </w:pPr>
    </w:p>
    <w:p w:rsidR="00435A5E" w:rsidRDefault="00435A5E" w:rsidP="00EF7CC0">
      <w:pPr>
        <w:ind w:firstLine="708"/>
        <w:rPr>
          <w:rFonts w:ascii="Times New Roman" w:hAnsi="Times New Roman" w:cs="Times New Roman"/>
        </w:rPr>
      </w:pPr>
    </w:p>
    <w:p w:rsidR="00CC7C74" w:rsidRDefault="00EF7CC0" w:rsidP="00EF7CC0">
      <w:pPr>
        <w:ind w:firstLine="708"/>
        <w:rPr>
          <w:rFonts w:ascii="Times New Roman" w:hAnsi="Times New Roman" w:cs="Times New Roman"/>
        </w:rPr>
      </w:pPr>
      <w:r>
        <w:rPr>
          <w:rFonts w:ascii="Times New Roman" w:hAnsi="Times New Roman" w:cs="Times New Roman"/>
        </w:rPr>
        <w:t>Při regulaci frekvence a příslušných předávaných výkonů v propojených elektrizačních soustavách je nutno zabránit reakci všech zdrojů ve všech soustavách. Pak reagují v jedné soustavě, která odchylku frekvence způsobila (metoda síťových charakteristik).</w:t>
      </w:r>
    </w:p>
    <w:p w:rsidR="00EF7CC0" w:rsidRPr="00510862" w:rsidRDefault="00EF7CC0">
      <w:pPr>
        <w:rPr>
          <w:rFonts w:ascii="Times New Roman" w:hAnsi="Times New Roman" w:cs="Times New Roman"/>
        </w:rPr>
      </w:pPr>
    </w:p>
    <w:p w:rsidR="00510862" w:rsidRPr="00510862" w:rsidRDefault="00510862">
      <w:pPr>
        <w:rPr>
          <w:rFonts w:ascii="Times New Roman" w:hAnsi="Times New Roman" w:cs="Times New Roman"/>
          <w:b/>
          <w:i/>
        </w:rPr>
      </w:pPr>
      <w:r w:rsidRPr="00510862">
        <w:rPr>
          <w:rFonts w:ascii="Times New Roman" w:hAnsi="Times New Roman" w:cs="Times New Roman"/>
          <w:b/>
          <w:i/>
        </w:rPr>
        <w:t>Regulace napětí a jalových výkonů</w:t>
      </w:r>
    </w:p>
    <w:p w:rsidR="00143035" w:rsidRDefault="00510862" w:rsidP="00143035">
      <w:pPr>
        <w:ind w:firstLine="708"/>
        <w:rPr>
          <w:rFonts w:ascii="Times New Roman" w:hAnsi="Times New Roman" w:cs="Times New Roman"/>
        </w:rPr>
      </w:pPr>
      <w:r w:rsidRPr="00510862">
        <w:rPr>
          <w:rFonts w:ascii="Times New Roman" w:hAnsi="Times New Roman" w:cs="Times New Roman"/>
        </w:rPr>
        <w:t>Regulace napětí je určena rovnováhou mezi dodávaným a spotřebovávaným jalovým výkonem</w:t>
      </w:r>
      <w:r w:rsidR="00143035">
        <w:rPr>
          <w:rFonts w:ascii="Times New Roman" w:hAnsi="Times New Roman" w:cs="Times New Roman"/>
        </w:rPr>
        <w:t xml:space="preserve"> v jednotlivých místech elektrizační soustavy. Pro zachování správné funkce a životnosti spotřebičů je nutné udržet velikost napětí v předepsaných mezích. Jalový výkon se samovolně šíří od míst s vyšším napětím do míst s nižším napětím. U neregulované soustavy je změna jalového zatížení spojena se změnou velikosti napětí podle charakteristik zátěží. </w:t>
      </w:r>
    </w:p>
    <w:p w:rsidR="00510862" w:rsidRDefault="00143035" w:rsidP="00143035">
      <w:pPr>
        <w:ind w:firstLine="708"/>
        <w:rPr>
          <w:rFonts w:ascii="Times New Roman" w:hAnsi="Times New Roman" w:cs="Times New Roman"/>
        </w:rPr>
      </w:pPr>
      <w:r>
        <w:rPr>
          <w:rFonts w:ascii="Times New Roman" w:hAnsi="Times New Roman" w:cs="Times New Roman"/>
        </w:rPr>
        <w:lastRenderedPageBreak/>
        <w:t>Zdroji jalového výkonu v elektrizační soustavě jsou synchronní alternátory</w:t>
      </w:r>
      <w:r w:rsidR="004162BB">
        <w:rPr>
          <w:rFonts w:ascii="Times New Roman" w:hAnsi="Times New Roman" w:cs="Times New Roman"/>
        </w:rPr>
        <w:t xml:space="preserve"> a synchronní motory, nezatížená vedení a kondenzátorové baterie. Závislost jejich dodávaného výkonu na napětí sítě:</w:t>
      </w:r>
    </w:p>
    <w:p w:rsidR="004162BB" w:rsidRDefault="00D32B63" w:rsidP="004162BB">
      <w:pPr>
        <w:rPr>
          <w:rFonts w:ascii="Times New Roman" w:eastAsiaTheme="minorEastAsia" w:hAnsi="Times New Roman" w:cs="Times New Roman"/>
        </w:rPr>
      </w:pPr>
      <w:r>
        <w:rPr>
          <w:rFonts w:ascii="Times New Roman" w:eastAsiaTheme="minorEastAsia" w:hAnsi="Times New Roman" w:cs="Times New Roman"/>
          <w:noProof/>
          <w:lang w:eastAsia="cs-CZ"/>
        </w:rPr>
        <w:drawing>
          <wp:anchor distT="0" distB="0" distL="114300" distR="114300" simplePos="0" relativeHeight="251659264" behindDoc="0" locked="0" layoutInCell="1" allowOverlap="1">
            <wp:simplePos x="0" y="0"/>
            <wp:positionH relativeFrom="column">
              <wp:posOffset>2032635</wp:posOffset>
            </wp:positionH>
            <wp:positionV relativeFrom="paragraph">
              <wp:posOffset>45085</wp:posOffset>
            </wp:positionV>
            <wp:extent cx="2238375" cy="1924050"/>
            <wp:effectExtent l="19050" t="0" r="9525" b="0"/>
            <wp:wrapSquare wrapText="bothSides"/>
            <wp:docPr id="2" name="Obrázek 1" descr="Magnetizační ztrá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etizační ztráty.jpg"/>
                    <pic:cNvPicPr/>
                  </pic:nvPicPr>
                  <pic:blipFill>
                    <a:blip r:embed="rId6" cstate="print"/>
                    <a:stretch>
                      <a:fillRect/>
                    </a:stretch>
                  </pic:blipFill>
                  <pic:spPr>
                    <a:xfrm>
                      <a:off x="0" y="0"/>
                      <a:ext cx="2238375" cy="1924050"/>
                    </a:xfrm>
                    <a:prstGeom prst="rect">
                      <a:avLst/>
                    </a:prstGeom>
                  </pic:spPr>
                </pic:pic>
              </a:graphicData>
            </a:graphic>
          </wp:anchor>
        </w:drawing>
      </w:r>
      <w:r>
        <w:rPr>
          <w:rFonts w:ascii="Times New Roman" w:eastAsiaTheme="minorEastAsia"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45085</wp:posOffset>
            </wp:positionV>
            <wp:extent cx="2038350" cy="1828800"/>
            <wp:effectExtent l="19050" t="0" r="0" b="0"/>
            <wp:wrapSquare wrapText="bothSides"/>
            <wp:docPr id="1" name="Obrázek 0" descr="Záv.Q na 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v.Q na U.jpg"/>
                    <pic:cNvPicPr/>
                  </pic:nvPicPr>
                  <pic:blipFill>
                    <a:blip r:embed="rId7" cstate="print"/>
                    <a:stretch>
                      <a:fillRect/>
                    </a:stretch>
                  </pic:blipFill>
                  <pic:spPr>
                    <a:xfrm>
                      <a:off x="0" y="0"/>
                      <a:ext cx="2038350" cy="1828800"/>
                    </a:xfrm>
                    <a:prstGeom prst="rect">
                      <a:avLst/>
                    </a:prstGeom>
                  </pic:spPr>
                </pic:pic>
              </a:graphicData>
            </a:graphic>
          </wp:anchor>
        </w:drawing>
      </w:r>
    </w:p>
    <w:p w:rsidR="004162BB" w:rsidRDefault="004162BB" w:rsidP="004162BB">
      <w:pPr>
        <w:rPr>
          <w:rFonts w:ascii="Times New Roman" w:eastAsiaTheme="minorEastAsia" w:hAnsi="Times New Roman" w:cs="Times New Roman"/>
        </w:rPr>
      </w:pPr>
      <w:r w:rsidRPr="004162BB">
        <w:rPr>
          <w:rFonts w:ascii="Times New Roman" w:eastAsiaTheme="minorEastAsia" w:hAnsi="Times New Roman" w:cs="Times New Roman"/>
          <w:i/>
        </w:rPr>
        <w:t>Dodávaný výkon</w:t>
      </w:r>
      <w:r>
        <w:rPr>
          <w:rFonts w:ascii="Times New Roman" w:eastAsiaTheme="minorEastAsia" w:hAnsi="Times New Roman" w:cs="Times New Roman"/>
        </w:rPr>
        <w:t>:</w:t>
      </w:r>
    </w:p>
    <w:p w:rsidR="004162BB" w:rsidRPr="00D32B63" w:rsidRDefault="004162BB" w:rsidP="00D32B63">
      <w:pPr>
        <w:ind w:right="-286"/>
        <w:rPr>
          <w:rFonts w:ascii="Times New Roman" w:eastAsiaTheme="minorEastAsia" w:hAnsi="Times New Roman" w:cs="Times New Roman"/>
          <w:sz w:val="22"/>
        </w:rPr>
      </w:pPr>
      <m:oMathPara>
        <m:oMath>
          <m:sSub>
            <m:sSubPr>
              <m:ctrlPr>
                <w:rPr>
                  <w:rFonts w:ascii="Cambria Math" w:hAnsi="Cambria Math" w:cs="Times New Roman"/>
                  <w:i/>
                  <w:sz w:val="22"/>
                </w:rPr>
              </m:ctrlPr>
            </m:sSubPr>
            <m:e>
              <m:r>
                <w:rPr>
                  <w:rFonts w:ascii="Cambria Math" w:hAnsi="Cambria Math" w:cs="Times New Roman"/>
                  <w:sz w:val="22"/>
                </w:rPr>
                <m:t>Q</m:t>
              </m:r>
            </m:e>
            <m:sub>
              <m:r>
                <w:rPr>
                  <w:rFonts w:ascii="Cambria Math" w:hAnsi="Cambria Math" w:cs="Times New Roman"/>
                  <w:sz w:val="22"/>
                </w:rPr>
                <m:t>AR</m:t>
              </m:r>
            </m:sub>
          </m:sSub>
          <m:r>
            <w:rPr>
              <w:rFonts w:ascii="Cambria Math" w:hAnsi="Cambria Math" w:cs="Times New Roman"/>
              <w:sz w:val="22"/>
            </w:rPr>
            <m:t>=</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U</m:t>
                  </m:r>
                </m:e>
                <m:sub>
                  <m:r>
                    <w:rPr>
                      <w:rFonts w:ascii="Cambria Math" w:hAnsi="Cambria Math" w:cs="Times New Roman"/>
                      <w:sz w:val="22"/>
                    </w:rPr>
                    <m:t>S</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V</m:t>
                  </m:r>
                </m:sub>
              </m:sSub>
            </m:num>
            <m:den>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D</m:t>
                  </m:r>
                </m:sub>
              </m:sSub>
            </m:den>
          </m:f>
          <m:r>
            <w:rPr>
              <w:rFonts w:ascii="Cambria Math" w:eastAsiaTheme="minorEastAsia" w:hAnsi="Cambria Math" w:cs="Times New Roman"/>
              <w:sz w:val="22"/>
            </w:rPr>
            <m:t>cosϑ-</m:t>
          </m:r>
          <m:f>
            <m:fPr>
              <m:ctrlPr>
                <w:rPr>
                  <w:rFonts w:ascii="Cambria Math" w:eastAsiaTheme="minorEastAsia" w:hAnsi="Cambria Math" w:cs="Times New Roman"/>
                  <w:i/>
                  <w:sz w:val="22"/>
                </w:rPr>
              </m:ctrlPr>
            </m:fPr>
            <m:num>
              <m:sSubSup>
                <m:sSubSupPr>
                  <m:ctrlPr>
                    <w:rPr>
                      <w:rFonts w:ascii="Cambria Math" w:eastAsiaTheme="minorEastAsia" w:hAnsi="Cambria Math" w:cs="Times New Roman"/>
                      <w:i/>
                      <w:sz w:val="22"/>
                    </w:rPr>
                  </m:ctrlPr>
                </m:sSubSupPr>
                <m:e>
                  <m:r>
                    <w:rPr>
                      <w:rFonts w:ascii="Cambria Math" w:eastAsiaTheme="minorEastAsia" w:hAnsi="Cambria Math" w:cs="Times New Roman"/>
                      <w:sz w:val="22"/>
                    </w:rPr>
                    <m:t>U</m:t>
                  </m:r>
                </m:e>
                <m:sub>
                  <m:r>
                    <w:rPr>
                      <w:rFonts w:ascii="Cambria Math" w:eastAsiaTheme="minorEastAsia" w:hAnsi="Cambria Math" w:cs="Times New Roman"/>
                      <w:sz w:val="22"/>
                    </w:rPr>
                    <m:t>S</m:t>
                  </m:r>
                </m:sub>
                <m:sup>
                  <m:r>
                    <w:rPr>
                      <w:rFonts w:ascii="Cambria Math" w:eastAsiaTheme="minorEastAsia" w:hAnsi="Cambria Math" w:cs="Times New Roman"/>
                      <w:sz w:val="22"/>
                    </w:rPr>
                    <m:t>2</m:t>
                  </m:r>
                </m:sup>
              </m:sSubSup>
            </m:num>
            <m:den>
              <m:sSub>
                <m:sSubPr>
                  <m:ctrlPr>
                    <w:rPr>
                      <w:rFonts w:ascii="Cambria Math" w:eastAsiaTheme="minorEastAsia" w:hAnsi="Cambria Math" w:cs="Times New Roman"/>
                      <w:i/>
                      <w:sz w:val="22"/>
                    </w:rPr>
                  </m:ctrlPr>
                </m:sSubPr>
                <m:e>
                  <m:r>
                    <w:rPr>
                      <w:rFonts w:ascii="Cambria Math" w:eastAsiaTheme="minorEastAsia" w:hAnsi="Cambria Math" w:cs="Times New Roman"/>
                      <w:sz w:val="22"/>
                    </w:rPr>
                    <m:t>X</m:t>
                  </m:r>
                </m:e>
                <m:sub>
                  <m:r>
                    <w:rPr>
                      <w:rFonts w:ascii="Cambria Math" w:eastAsiaTheme="minorEastAsia" w:hAnsi="Cambria Math" w:cs="Times New Roman"/>
                      <w:sz w:val="22"/>
                    </w:rPr>
                    <m:t>d</m:t>
                  </m:r>
                </m:sub>
              </m:sSub>
            </m:den>
          </m:f>
        </m:oMath>
      </m:oMathPara>
    </w:p>
    <w:p w:rsidR="004162BB" w:rsidRDefault="004162BB" w:rsidP="004162BB">
      <w:pPr>
        <w:rPr>
          <w:rFonts w:ascii="Times New Roman" w:eastAsiaTheme="minorEastAsia" w:hAnsi="Times New Roman" w:cs="Times New Roman"/>
        </w:rPr>
      </w:pPr>
      <w:r w:rsidRPr="004162BB">
        <w:rPr>
          <w:rFonts w:ascii="Times New Roman" w:eastAsiaTheme="minorEastAsia" w:hAnsi="Times New Roman" w:cs="Times New Roman"/>
          <w:i/>
        </w:rPr>
        <w:t>Magnetizační ztráty</w:t>
      </w:r>
      <w:r>
        <w:rPr>
          <w:rFonts w:ascii="Times New Roman" w:eastAsiaTheme="minorEastAsia" w:hAnsi="Times New Roman" w:cs="Times New Roman"/>
        </w:rPr>
        <w:t>:</w:t>
      </w:r>
    </w:p>
    <w:p w:rsidR="004162BB" w:rsidRDefault="004162BB" w:rsidP="004162BB">
      <w:pP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M</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U</m:t>
                  </m:r>
                </m:e>
                <m:sub>
                  <m:r>
                    <w:rPr>
                      <w:rFonts w:ascii="Cambria Math" w:eastAsiaTheme="minorEastAsia" w:hAnsi="Cambria Math" w:cs="Times New Roman"/>
                    </w:rPr>
                    <m:t>S</m:t>
                  </m:r>
                </m:sub>
                <m:sup>
                  <m:r>
                    <w:rPr>
                      <w:rFonts w:ascii="Cambria Math" w:eastAsiaTheme="minorEastAsia" w:hAnsi="Cambria Math" w:cs="Times New Roman"/>
                    </w:rPr>
                    <m:t>2</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μ</m:t>
                  </m:r>
                </m:sub>
              </m:sSub>
            </m:den>
          </m:f>
        </m:oMath>
      </m:oMathPara>
    </w:p>
    <w:p w:rsidR="004162BB" w:rsidRDefault="004162BB" w:rsidP="004162BB">
      <w:pPr>
        <w:rPr>
          <w:rFonts w:ascii="Times New Roman" w:eastAsiaTheme="minorEastAsia" w:hAnsi="Times New Roman" w:cs="Times New Roman"/>
        </w:rPr>
      </w:pPr>
    </w:p>
    <w:p w:rsidR="00694736" w:rsidRDefault="00694736" w:rsidP="004162BB">
      <w:pPr>
        <w:rPr>
          <w:rFonts w:ascii="Times New Roman" w:eastAsiaTheme="minorEastAsia" w:hAnsi="Times New Roman" w:cs="Times New Roman"/>
        </w:rPr>
      </w:pPr>
    </w:p>
    <w:p w:rsidR="00694736" w:rsidRDefault="00694736" w:rsidP="004162BB">
      <w:pPr>
        <w:rPr>
          <w:rFonts w:ascii="Times New Roman" w:eastAsiaTheme="minorEastAsia" w:hAnsi="Times New Roman" w:cs="Times New Roman"/>
        </w:rPr>
      </w:pPr>
    </w:p>
    <w:p w:rsidR="00694736" w:rsidRDefault="00694736" w:rsidP="00694736">
      <w:pPr>
        <w:ind w:firstLine="708"/>
        <w:rPr>
          <w:rFonts w:ascii="Times New Roman" w:eastAsiaTheme="minorEastAsia" w:hAnsi="Times New Roman" w:cs="Times New Roman"/>
        </w:rPr>
      </w:pPr>
      <w:r>
        <w:rPr>
          <w:rFonts w:ascii="Times New Roman" w:eastAsiaTheme="minorEastAsia" w:hAnsi="Times New Roman" w:cs="Times New Roman"/>
        </w:rPr>
        <w:t>V neregulované soustavě dochází při změně jalového zatížení ke kolísání velikosti napětí. Regulaci dodávaného výkonu provádíme pomocí změny buzení synchr. strojů, nasazováním kondenzátorových baterií, změnou odboček baterií. Při zvýšení jalového zatížení dojde ke snížení napětí ∆U.</w:t>
      </w:r>
    </w:p>
    <w:p w:rsidR="00694736" w:rsidRDefault="00694736" w:rsidP="004162BB">
      <w:pPr>
        <w:rPr>
          <w:rFonts w:ascii="Times New Roman" w:eastAsiaTheme="minorEastAsia" w:hAnsi="Times New Roman" w:cs="Times New Roman"/>
        </w:rPr>
      </w:pPr>
    </w:p>
    <w:p w:rsidR="00694736" w:rsidRPr="00694736" w:rsidRDefault="00694736" w:rsidP="004162BB">
      <w:pPr>
        <w:rPr>
          <w:rFonts w:ascii="Times New Roman" w:eastAsiaTheme="minorEastAsia" w:hAnsi="Times New Roman" w:cs="Times New Roman"/>
          <w:i/>
        </w:rPr>
      </w:pPr>
      <w:r w:rsidRPr="00694736">
        <w:rPr>
          <w:rFonts w:ascii="Times New Roman" w:eastAsiaTheme="minorEastAsia" w:hAnsi="Times New Roman" w:cs="Times New Roman"/>
          <w:i/>
        </w:rPr>
        <w:t>Regulace napětí alternátorů</w:t>
      </w:r>
    </w:p>
    <w:p w:rsidR="00694736" w:rsidRPr="004162BB" w:rsidRDefault="00694736" w:rsidP="00CC7C74">
      <w:pPr>
        <w:ind w:firstLine="708"/>
        <w:rPr>
          <w:rFonts w:ascii="Times New Roman" w:eastAsiaTheme="minorEastAsia" w:hAnsi="Times New Roman" w:cs="Times New Roman"/>
        </w:rPr>
      </w:pPr>
      <w:r>
        <w:rPr>
          <w:rFonts w:ascii="Times New Roman" w:eastAsiaTheme="minorEastAsia" w:hAnsi="Times New Roman" w:cs="Times New Roman"/>
        </w:rPr>
        <w:t>U alternátorů je základním úkolem dodávka činného výkonu při daném účiníku.</w:t>
      </w:r>
      <w:r w:rsidR="00CC7C74">
        <w:rPr>
          <w:rFonts w:ascii="Times New Roman" w:eastAsiaTheme="minorEastAsia" w:hAnsi="Times New Roman" w:cs="Times New Roman"/>
        </w:rPr>
        <w:t xml:space="preserve"> A potom je zajištění požadavků soustavy na jalový výkon. </w:t>
      </w:r>
    </w:p>
    <w:sectPr w:rsidR="00694736" w:rsidRPr="004162BB" w:rsidSect="004D1C4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510862"/>
    <w:rsid w:val="000D340A"/>
    <w:rsid w:val="000F34DC"/>
    <w:rsid w:val="00143035"/>
    <w:rsid w:val="001D4F82"/>
    <w:rsid w:val="002E1EBC"/>
    <w:rsid w:val="00331E7F"/>
    <w:rsid w:val="0040185C"/>
    <w:rsid w:val="004162BB"/>
    <w:rsid w:val="00435A5E"/>
    <w:rsid w:val="004D1C42"/>
    <w:rsid w:val="004E64B9"/>
    <w:rsid w:val="00510862"/>
    <w:rsid w:val="00513120"/>
    <w:rsid w:val="00523710"/>
    <w:rsid w:val="00615765"/>
    <w:rsid w:val="00694736"/>
    <w:rsid w:val="007154EA"/>
    <w:rsid w:val="00945C74"/>
    <w:rsid w:val="00A1686D"/>
    <w:rsid w:val="00A951FE"/>
    <w:rsid w:val="00B51D9A"/>
    <w:rsid w:val="00B9266A"/>
    <w:rsid w:val="00C42C96"/>
    <w:rsid w:val="00CC7C74"/>
    <w:rsid w:val="00CE024E"/>
    <w:rsid w:val="00D32B63"/>
    <w:rsid w:val="00D53E2E"/>
    <w:rsid w:val="00EF7CC0"/>
    <w:rsid w:val="00F94A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C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62BB"/>
    <w:rPr>
      <w:color w:val="808080"/>
    </w:rPr>
  </w:style>
  <w:style w:type="paragraph" w:styleId="Textbubliny">
    <w:name w:val="Balloon Text"/>
    <w:basedOn w:val="Normln"/>
    <w:link w:val="TextbublinyChar"/>
    <w:uiPriority w:val="99"/>
    <w:semiHidden/>
    <w:unhideWhenUsed/>
    <w:rsid w:val="004162B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6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364</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dc:creator>
  <cp:lastModifiedBy>Karlos</cp:lastModifiedBy>
  <cp:revision>3</cp:revision>
  <dcterms:created xsi:type="dcterms:W3CDTF">2010-05-18T15:58:00Z</dcterms:created>
  <dcterms:modified xsi:type="dcterms:W3CDTF">2010-05-18T16:56:00Z</dcterms:modified>
</cp:coreProperties>
</file>